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CC" w:rsidRPr="000044B7" w:rsidRDefault="003C7BF3" w:rsidP="000044B7">
      <w:pPr>
        <w:spacing w:before="101" w:after="10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FORMULATION AND IN VITRO EVALUATION OF SUSTAINED RELEASE MATRIX TABLETS OF LORNOXICAM</w:t>
      </w:r>
    </w:p>
    <w:p w:rsidR="000044B7" w:rsidRDefault="000044B7" w:rsidP="00C70EA2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A7A" w:rsidRDefault="00BA6A7A" w:rsidP="00C70EA2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Fig. No 1</w:t>
      </w:r>
    </w:p>
    <w:p w:rsidR="00BA6A7A" w:rsidRPr="005611DC" w:rsidRDefault="00BA6A7A" w:rsidP="00BA6A7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11DC">
        <w:rPr>
          <w:rFonts w:ascii="Times New Roman" w:hAnsi="Times New Roman" w:cs="Times New Roman"/>
          <w:b/>
          <w:color w:val="000000"/>
          <w:sz w:val="24"/>
          <w:szCs w:val="24"/>
        </w:rPr>
        <w:t>IR Spectrum of Lornoxicam standard</w:t>
      </w:r>
    </w:p>
    <w:p w:rsidR="00316FCC" w:rsidRPr="000044B7" w:rsidRDefault="00BA6A7A" w:rsidP="000044B7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noProof/>
          <w:color w:val="000000"/>
        </w:rPr>
        <w:drawing>
          <wp:inline distT="0" distB="0" distL="0" distR="0">
            <wp:extent cx="4019587" cy="2286000"/>
            <wp:effectExtent l="19050" t="0" r="0" b="0"/>
            <wp:docPr id="1" name="Picture 1" descr="D:\scan change\lornoxicam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an change\lornoxicam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278" cy="229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7A" w:rsidRDefault="00BA6A7A" w:rsidP="00BA6A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Fig. No 2</w:t>
      </w:r>
    </w:p>
    <w:p w:rsidR="00BA6A7A" w:rsidRPr="005611DC" w:rsidRDefault="00BA6A7A" w:rsidP="00BA6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 Spectrum of HPMC K 10 M</w:t>
      </w:r>
    </w:p>
    <w:p w:rsidR="00BA6A7A" w:rsidRPr="00BA6A7A" w:rsidRDefault="00BA6A7A" w:rsidP="00BA6A7A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b/>
          <w:noProof/>
          <w:color w:val="000000"/>
          <w:szCs w:val="28"/>
        </w:rPr>
        <w:drawing>
          <wp:inline distT="0" distB="0" distL="0" distR="0">
            <wp:extent cx="3805394" cy="2204272"/>
            <wp:effectExtent l="19050" t="0" r="4606" b="0"/>
            <wp:docPr id="4" name="Picture 3" descr="D:\scan change\hpmc k1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can change\hpmc k1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19" cy="221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FCC" w:rsidRDefault="00316FCC" w:rsidP="000044B7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6A7A" w:rsidRDefault="00BA6A7A" w:rsidP="00BA6A7A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Fig. No 3</w:t>
      </w:r>
    </w:p>
    <w:p w:rsidR="00BA6A7A" w:rsidRPr="005611DC" w:rsidRDefault="00BA6A7A" w:rsidP="00BA6A7A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11DC">
        <w:rPr>
          <w:rFonts w:ascii="Times New Roman" w:hAnsi="Times New Roman" w:cs="Times New Roman"/>
          <w:b/>
          <w:color w:val="000000"/>
          <w:sz w:val="24"/>
          <w:szCs w:val="24"/>
        </w:rPr>
        <w:t>IR Spectrum of physical mixture</w:t>
      </w:r>
    </w:p>
    <w:p w:rsidR="00316FCC" w:rsidRPr="000044B7" w:rsidRDefault="00BA6A7A" w:rsidP="000044B7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3770953" cy="2018337"/>
            <wp:effectExtent l="19050" t="0" r="947" b="0"/>
            <wp:docPr id="6" name="Picture 9" descr="D:\scan change\lor + hpmc k1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can change\lor + hpmc k10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005" cy="202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D5" w:rsidRDefault="00BA6A7A" w:rsidP="00BA6A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 No 4</w:t>
      </w:r>
    </w:p>
    <w:p w:rsidR="00B8351B" w:rsidRPr="00263E34" w:rsidRDefault="00B8351B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sz w:val="24"/>
          <w:szCs w:val="24"/>
        </w:rPr>
        <w:t>In vitro drug release plot for formulations F</w:t>
      </w:r>
      <w:r w:rsidRPr="00263E34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63E34">
        <w:rPr>
          <w:rFonts w:ascii="Times New Roman" w:hAnsi="Times New Roman" w:cs="Times New Roman"/>
          <w:b/>
          <w:sz w:val="24"/>
          <w:szCs w:val="24"/>
        </w:rPr>
        <w:t>- F</w:t>
      </w:r>
      <w:r w:rsidRPr="00263E34">
        <w:rPr>
          <w:rFonts w:ascii="Times New Roman" w:hAnsi="Times New Roman" w:cs="Times New Roman"/>
          <w:b/>
          <w:sz w:val="24"/>
          <w:szCs w:val="24"/>
          <w:vertAlign w:val="subscript"/>
        </w:rPr>
        <w:t>9</w:t>
      </w:r>
    </w:p>
    <w:p w:rsidR="00B8351B" w:rsidRPr="00BA6A7A" w:rsidRDefault="00B8351B" w:rsidP="00BA6A7A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687189" cy="2140085"/>
            <wp:effectExtent l="19050" t="0" r="27561" b="0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6FCC" w:rsidRDefault="00316FCC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545A35" w:rsidRDefault="00545A35" w:rsidP="000044B7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0749D5" w:rsidRDefault="00BA6A7A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t>Fig No. 5</w:t>
      </w:r>
    </w:p>
    <w:p w:rsidR="00B8351B" w:rsidRPr="00263E34" w:rsidRDefault="00B8351B" w:rsidP="00B8351B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Zero order plot of F</w:t>
      </w: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  <w:vertAlign w:val="subscript"/>
        </w:rPr>
        <w:t>9</w:t>
      </w:r>
    </w:p>
    <w:p w:rsidR="00316FCC" w:rsidRDefault="00B8351B" w:rsidP="000044B7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551002" cy="1974715"/>
            <wp:effectExtent l="19050" t="0" r="11348" b="6485"/>
            <wp:docPr id="15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49D5" w:rsidRDefault="00BA6A7A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Fig No. 6</w:t>
      </w:r>
    </w:p>
    <w:p w:rsidR="00B8351B" w:rsidRPr="00263E34" w:rsidRDefault="00B8351B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First order plot of F</w:t>
      </w: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  <w:vertAlign w:val="subscript"/>
        </w:rPr>
        <w:t>9</w:t>
      </w:r>
    </w:p>
    <w:p w:rsidR="00B8351B" w:rsidRPr="00263E34" w:rsidRDefault="00B8351B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385631" cy="1750979"/>
            <wp:effectExtent l="19050" t="0" r="24319" b="1621"/>
            <wp:docPr id="16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8351B" w:rsidRPr="00263E34" w:rsidRDefault="00B8351B" w:rsidP="00B8351B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</w:t>
      </w:r>
    </w:p>
    <w:p w:rsidR="00316FCC" w:rsidRDefault="00316FCC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316FCC" w:rsidRDefault="00316FCC" w:rsidP="000044B7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0749D5" w:rsidRDefault="00BA6A7A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t>Fig No. 7</w:t>
      </w:r>
    </w:p>
    <w:p w:rsidR="00B8351B" w:rsidRPr="00263E34" w:rsidRDefault="00B8351B" w:rsidP="0016018C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Higuchi plot of F</w:t>
      </w: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  <w:vertAlign w:val="subscript"/>
        </w:rPr>
        <w:t>9</w:t>
      </w:r>
    </w:p>
    <w:p w:rsidR="00316FCC" w:rsidRDefault="00B8351B" w:rsidP="000044B7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453725" cy="1906621"/>
            <wp:effectExtent l="19050" t="0" r="13375" b="0"/>
            <wp:docPr id="17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6FCC" w:rsidRDefault="00316FCC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0749D5" w:rsidRDefault="00BA6A7A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Fig No. 8</w:t>
      </w:r>
    </w:p>
    <w:p w:rsidR="00B8351B" w:rsidRPr="00263E34" w:rsidRDefault="00B8351B" w:rsidP="00B8351B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Korsmeyer peppas plot of F</w:t>
      </w: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  <w:vertAlign w:val="subscript"/>
        </w:rPr>
        <w:t>9</w:t>
      </w:r>
    </w:p>
    <w:p w:rsidR="00D148FC" w:rsidRDefault="00B8351B" w:rsidP="00BA6A7A">
      <w:pPr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63E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275222" cy="1819072"/>
            <wp:effectExtent l="19050" t="0" r="20428" b="0"/>
            <wp:docPr id="18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43BD" w:rsidRPr="00B343BD" w:rsidRDefault="00B343BD" w:rsidP="00B343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343BD" w:rsidRPr="00B343BD" w:rsidSect="00AC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4B4" w:rsidRDefault="00EC44B4" w:rsidP="00460900">
      <w:pPr>
        <w:spacing w:after="0" w:line="240" w:lineRule="auto"/>
      </w:pPr>
      <w:r>
        <w:separator/>
      </w:r>
    </w:p>
  </w:endnote>
  <w:endnote w:type="continuationSeparator" w:id="1">
    <w:p w:rsidR="00EC44B4" w:rsidRDefault="00EC44B4" w:rsidP="0046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4B4" w:rsidRDefault="00EC44B4" w:rsidP="00460900">
      <w:pPr>
        <w:spacing w:after="0" w:line="240" w:lineRule="auto"/>
      </w:pPr>
      <w:r>
        <w:separator/>
      </w:r>
    </w:p>
  </w:footnote>
  <w:footnote w:type="continuationSeparator" w:id="1">
    <w:p w:rsidR="00EC44B4" w:rsidRDefault="00EC44B4" w:rsidP="0046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1C07"/>
    <w:multiLevelType w:val="hybridMultilevel"/>
    <w:tmpl w:val="38E4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3A2E"/>
    <w:multiLevelType w:val="hybridMultilevel"/>
    <w:tmpl w:val="CDD6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638FA"/>
    <w:multiLevelType w:val="hybridMultilevel"/>
    <w:tmpl w:val="D21E4268"/>
    <w:lvl w:ilvl="0" w:tplc="0C5ED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93F03"/>
    <w:multiLevelType w:val="hybridMultilevel"/>
    <w:tmpl w:val="D270A676"/>
    <w:lvl w:ilvl="0" w:tplc="2FDC8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EC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DC53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C87CCC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20484"/>
    <w:multiLevelType w:val="hybridMultilevel"/>
    <w:tmpl w:val="9352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774"/>
    <w:rsid w:val="000044B7"/>
    <w:rsid w:val="00006AA8"/>
    <w:rsid w:val="000077D9"/>
    <w:rsid w:val="00010E90"/>
    <w:rsid w:val="000213BE"/>
    <w:rsid w:val="000253C6"/>
    <w:rsid w:val="0003647B"/>
    <w:rsid w:val="000416A1"/>
    <w:rsid w:val="00063FA7"/>
    <w:rsid w:val="00065F7F"/>
    <w:rsid w:val="000749D5"/>
    <w:rsid w:val="00087E43"/>
    <w:rsid w:val="00094AFA"/>
    <w:rsid w:val="000B50B0"/>
    <w:rsid w:val="000C4DBF"/>
    <w:rsid w:val="000D6A73"/>
    <w:rsid w:val="000E5D2F"/>
    <w:rsid w:val="000F57BD"/>
    <w:rsid w:val="00103BB7"/>
    <w:rsid w:val="00131FB2"/>
    <w:rsid w:val="00135552"/>
    <w:rsid w:val="00146484"/>
    <w:rsid w:val="00151A50"/>
    <w:rsid w:val="0016018C"/>
    <w:rsid w:val="00164354"/>
    <w:rsid w:val="001673FB"/>
    <w:rsid w:val="0017071B"/>
    <w:rsid w:val="00172A41"/>
    <w:rsid w:val="00173257"/>
    <w:rsid w:val="0017728C"/>
    <w:rsid w:val="00182582"/>
    <w:rsid w:val="001A3E98"/>
    <w:rsid w:val="001A40C5"/>
    <w:rsid w:val="001A662D"/>
    <w:rsid w:val="001A664A"/>
    <w:rsid w:val="001E4670"/>
    <w:rsid w:val="001F1D9A"/>
    <w:rsid w:val="00206728"/>
    <w:rsid w:val="00207E8E"/>
    <w:rsid w:val="00210782"/>
    <w:rsid w:val="00223D03"/>
    <w:rsid w:val="002307E1"/>
    <w:rsid w:val="00243715"/>
    <w:rsid w:val="00251DDE"/>
    <w:rsid w:val="00256C3F"/>
    <w:rsid w:val="002629A6"/>
    <w:rsid w:val="00263E34"/>
    <w:rsid w:val="00265344"/>
    <w:rsid w:val="002929A0"/>
    <w:rsid w:val="002A2717"/>
    <w:rsid w:val="002B2EDD"/>
    <w:rsid w:val="00305D7A"/>
    <w:rsid w:val="003071E3"/>
    <w:rsid w:val="00311A22"/>
    <w:rsid w:val="00316FCC"/>
    <w:rsid w:val="00321C27"/>
    <w:rsid w:val="00322352"/>
    <w:rsid w:val="0033053A"/>
    <w:rsid w:val="003357EA"/>
    <w:rsid w:val="0034069C"/>
    <w:rsid w:val="00350237"/>
    <w:rsid w:val="00350B00"/>
    <w:rsid w:val="0036000E"/>
    <w:rsid w:val="00361694"/>
    <w:rsid w:val="00370C87"/>
    <w:rsid w:val="00380BB2"/>
    <w:rsid w:val="00384512"/>
    <w:rsid w:val="003A2807"/>
    <w:rsid w:val="003B04B3"/>
    <w:rsid w:val="003B1DFB"/>
    <w:rsid w:val="003C0AA5"/>
    <w:rsid w:val="003C7BF3"/>
    <w:rsid w:val="003E3CB7"/>
    <w:rsid w:val="003E6836"/>
    <w:rsid w:val="003F610E"/>
    <w:rsid w:val="00425259"/>
    <w:rsid w:val="00430354"/>
    <w:rsid w:val="00437823"/>
    <w:rsid w:val="00445AB7"/>
    <w:rsid w:val="00446D68"/>
    <w:rsid w:val="00455826"/>
    <w:rsid w:val="00460900"/>
    <w:rsid w:val="004614F6"/>
    <w:rsid w:val="004701E3"/>
    <w:rsid w:val="004705F1"/>
    <w:rsid w:val="00472002"/>
    <w:rsid w:val="004753AE"/>
    <w:rsid w:val="004760C7"/>
    <w:rsid w:val="0048786F"/>
    <w:rsid w:val="00493C85"/>
    <w:rsid w:val="004A526B"/>
    <w:rsid w:val="004B49B6"/>
    <w:rsid w:val="004C244E"/>
    <w:rsid w:val="004C535E"/>
    <w:rsid w:val="004D0E36"/>
    <w:rsid w:val="004E1545"/>
    <w:rsid w:val="004E310E"/>
    <w:rsid w:val="004F3F55"/>
    <w:rsid w:val="004F68F2"/>
    <w:rsid w:val="004F6C8D"/>
    <w:rsid w:val="0051402D"/>
    <w:rsid w:val="00520F20"/>
    <w:rsid w:val="005251F5"/>
    <w:rsid w:val="005331BE"/>
    <w:rsid w:val="00540D37"/>
    <w:rsid w:val="00542C9F"/>
    <w:rsid w:val="00545A35"/>
    <w:rsid w:val="00555CF1"/>
    <w:rsid w:val="005611DC"/>
    <w:rsid w:val="005644B2"/>
    <w:rsid w:val="00573B88"/>
    <w:rsid w:val="00582B93"/>
    <w:rsid w:val="00584E5E"/>
    <w:rsid w:val="0059004D"/>
    <w:rsid w:val="00590BC7"/>
    <w:rsid w:val="005A1003"/>
    <w:rsid w:val="005B0A65"/>
    <w:rsid w:val="005B3412"/>
    <w:rsid w:val="005B3458"/>
    <w:rsid w:val="005C2E4B"/>
    <w:rsid w:val="005C3906"/>
    <w:rsid w:val="005D331F"/>
    <w:rsid w:val="005D790D"/>
    <w:rsid w:val="005E43B7"/>
    <w:rsid w:val="005E5D49"/>
    <w:rsid w:val="005F0712"/>
    <w:rsid w:val="005F0D82"/>
    <w:rsid w:val="00605CE9"/>
    <w:rsid w:val="00625F95"/>
    <w:rsid w:val="00631468"/>
    <w:rsid w:val="006314FB"/>
    <w:rsid w:val="006355EA"/>
    <w:rsid w:val="00641916"/>
    <w:rsid w:val="00642853"/>
    <w:rsid w:val="00642F37"/>
    <w:rsid w:val="00646AE3"/>
    <w:rsid w:val="006547F6"/>
    <w:rsid w:val="00665AD0"/>
    <w:rsid w:val="00666E19"/>
    <w:rsid w:val="006749BA"/>
    <w:rsid w:val="00692C6E"/>
    <w:rsid w:val="006947A0"/>
    <w:rsid w:val="00697998"/>
    <w:rsid w:val="006B6D1B"/>
    <w:rsid w:val="006D35F3"/>
    <w:rsid w:val="006D4EEB"/>
    <w:rsid w:val="006E0774"/>
    <w:rsid w:val="006E1CCD"/>
    <w:rsid w:val="00702935"/>
    <w:rsid w:val="0072052E"/>
    <w:rsid w:val="00720DA2"/>
    <w:rsid w:val="00722861"/>
    <w:rsid w:val="00741C4E"/>
    <w:rsid w:val="00747D7D"/>
    <w:rsid w:val="00750508"/>
    <w:rsid w:val="00752D12"/>
    <w:rsid w:val="00755545"/>
    <w:rsid w:val="007634A2"/>
    <w:rsid w:val="0077027B"/>
    <w:rsid w:val="007712A3"/>
    <w:rsid w:val="0077153E"/>
    <w:rsid w:val="00774237"/>
    <w:rsid w:val="00774F5A"/>
    <w:rsid w:val="007806D9"/>
    <w:rsid w:val="00784EA7"/>
    <w:rsid w:val="007A490D"/>
    <w:rsid w:val="007C2018"/>
    <w:rsid w:val="007D55F1"/>
    <w:rsid w:val="007E1430"/>
    <w:rsid w:val="007E24CD"/>
    <w:rsid w:val="0080537C"/>
    <w:rsid w:val="0080563A"/>
    <w:rsid w:val="00806755"/>
    <w:rsid w:val="00813026"/>
    <w:rsid w:val="0082101B"/>
    <w:rsid w:val="0084157D"/>
    <w:rsid w:val="008450F6"/>
    <w:rsid w:val="00873235"/>
    <w:rsid w:val="008801C1"/>
    <w:rsid w:val="008B0839"/>
    <w:rsid w:val="008B4FEB"/>
    <w:rsid w:val="008B5F35"/>
    <w:rsid w:val="008F7319"/>
    <w:rsid w:val="008F75CB"/>
    <w:rsid w:val="00903CF4"/>
    <w:rsid w:val="00914048"/>
    <w:rsid w:val="00922765"/>
    <w:rsid w:val="00925FD5"/>
    <w:rsid w:val="00936077"/>
    <w:rsid w:val="00950CD7"/>
    <w:rsid w:val="00953061"/>
    <w:rsid w:val="009710F3"/>
    <w:rsid w:val="00972DC1"/>
    <w:rsid w:val="00975350"/>
    <w:rsid w:val="00976FDF"/>
    <w:rsid w:val="00985363"/>
    <w:rsid w:val="00986BD9"/>
    <w:rsid w:val="00994AD1"/>
    <w:rsid w:val="009A187E"/>
    <w:rsid w:val="009B344E"/>
    <w:rsid w:val="009C046D"/>
    <w:rsid w:val="009C4F82"/>
    <w:rsid w:val="009C68A8"/>
    <w:rsid w:val="009E10E8"/>
    <w:rsid w:val="00A023B7"/>
    <w:rsid w:val="00A20948"/>
    <w:rsid w:val="00A22FF3"/>
    <w:rsid w:val="00A256B2"/>
    <w:rsid w:val="00A521B4"/>
    <w:rsid w:val="00A52BFF"/>
    <w:rsid w:val="00A576E7"/>
    <w:rsid w:val="00A71356"/>
    <w:rsid w:val="00A71EDB"/>
    <w:rsid w:val="00A7295C"/>
    <w:rsid w:val="00A76BAD"/>
    <w:rsid w:val="00A8587B"/>
    <w:rsid w:val="00AC0106"/>
    <w:rsid w:val="00AC26B1"/>
    <w:rsid w:val="00AC2794"/>
    <w:rsid w:val="00AC6A0C"/>
    <w:rsid w:val="00AD46A7"/>
    <w:rsid w:val="00AD69E3"/>
    <w:rsid w:val="00AE588C"/>
    <w:rsid w:val="00B24FB8"/>
    <w:rsid w:val="00B323F9"/>
    <w:rsid w:val="00B343BD"/>
    <w:rsid w:val="00B36F38"/>
    <w:rsid w:val="00B42369"/>
    <w:rsid w:val="00B43953"/>
    <w:rsid w:val="00B46DC6"/>
    <w:rsid w:val="00B554B5"/>
    <w:rsid w:val="00B812F9"/>
    <w:rsid w:val="00B82036"/>
    <w:rsid w:val="00B8351B"/>
    <w:rsid w:val="00B861A3"/>
    <w:rsid w:val="00B92CB4"/>
    <w:rsid w:val="00BA0065"/>
    <w:rsid w:val="00BA37BB"/>
    <w:rsid w:val="00BA46A7"/>
    <w:rsid w:val="00BA6A7A"/>
    <w:rsid w:val="00BA79B2"/>
    <w:rsid w:val="00BC0D1F"/>
    <w:rsid w:val="00BC7A9B"/>
    <w:rsid w:val="00BE6C30"/>
    <w:rsid w:val="00C10D68"/>
    <w:rsid w:val="00C13984"/>
    <w:rsid w:val="00C3382B"/>
    <w:rsid w:val="00C36505"/>
    <w:rsid w:val="00C500A4"/>
    <w:rsid w:val="00C61CF9"/>
    <w:rsid w:val="00C70725"/>
    <w:rsid w:val="00C70EA2"/>
    <w:rsid w:val="00C86005"/>
    <w:rsid w:val="00CA2371"/>
    <w:rsid w:val="00CB47AA"/>
    <w:rsid w:val="00CC1636"/>
    <w:rsid w:val="00CD140E"/>
    <w:rsid w:val="00CD15C3"/>
    <w:rsid w:val="00CD5115"/>
    <w:rsid w:val="00D024E3"/>
    <w:rsid w:val="00D046F5"/>
    <w:rsid w:val="00D10F24"/>
    <w:rsid w:val="00D148FC"/>
    <w:rsid w:val="00D20BE4"/>
    <w:rsid w:val="00D22FB1"/>
    <w:rsid w:val="00D2341E"/>
    <w:rsid w:val="00D25869"/>
    <w:rsid w:val="00D27EEE"/>
    <w:rsid w:val="00D76B07"/>
    <w:rsid w:val="00D77089"/>
    <w:rsid w:val="00D856DC"/>
    <w:rsid w:val="00D8783D"/>
    <w:rsid w:val="00DA1B3A"/>
    <w:rsid w:val="00DB4642"/>
    <w:rsid w:val="00DC0F2B"/>
    <w:rsid w:val="00DC27F7"/>
    <w:rsid w:val="00DD6409"/>
    <w:rsid w:val="00DF4A8A"/>
    <w:rsid w:val="00E079A4"/>
    <w:rsid w:val="00E10AB0"/>
    <w:rsid w:val="00E156AF"/>
    <w:rsid w:val="00E2441E"/>
    <w:rsid w:val="00E27D5A"/>
    <w:rsid w:val="00E31112"/>
    <w:rsid w:val="00E42655"/>
    <w:rsid w:val="00E625B0"/>
    <w:rsid w:val="00E627D9"/>
    <w:rsid w:val="00E710B7"/>
    <w:rsid w:val="00E75019"/>
    <w:rsid w:val="00E772EC"/>
    <w:rsid w:val="00E84326"/>
    <w:rsid w:val="00E87BE1"/>
    <w:rsid w:val="00E94836"/>
    <w:rsid w:val="00E94C79"/>
    <w:rsid w:val="00EB4CD6"/>
    <w:rsid w:val="00EC4472"/>
    <w:rsid w:val="00EC44B4"/>
    <w:rsid w:val="00ED025B"/>
    <w:rsid w:val="00ED666F"/>
    <w:rsid w:val="00EE3E9B"/>
    <w:rsid w:val="00EF2969"/>
    <w:rsid w:val="00F01455"/>
    <w:rsid w:val="00F0545E"/>
    <w:rsid w:val="00F10C68"/>
    <w:rsid w:val="00F13319"/>
    <w:rsid w:val="00F27CE9"/>
    <w:rsid w:val="00F31221"/>
    <w:rsid w:val="00F3743B"/>
    <w:rsid w:val="00F4148A"/>
    <w:rsid w:val="00F526DA"/>
    <w:rsid w:val="00F6138A"/>
    <w:rsid w:val="00F65DC7"/>
    <w:rsid w:val="00F66FD4"/>
    <w:rsid w:val="00F679AE"/>
    <w:rsid w:val="00F71F61"/>
    <w:rsid w:val="00F87D55"/>
    <w:rsid w:val="00F93865"/>
    <w:rsid w:val="00F94D63"/>
    <w:rsid w:val="00FA0042"/>
    <w:rsid w:val="00FB24EE"/>
    <w:rsid w:val="00FC3673"/>
    <w:rsid w:val="00FC6429"/>
    <w:rsid w:val="00FC65A8"/>
    <w:rsid w:val="00FC69C3"/>
    <w:rsid w:val="00FD2511"/>
    <w:rsid w:val="00FD483B"/>
    <w:rsid w:val="00FE4364"/>
    <w:rsid w:val="00FE6FA8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0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701E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01E3"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E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B8351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B8351B"/>
    <w:rPr>
      <w:rFonts w:ascii="Times New Roman" w:eastAsia="Times New Roman" w:hAnsi="Times New Roman" w:cs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B343B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B34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6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900"/>
  </w:style>
  <w:style w:type="paragraph" w:styleId="Footer">
    <w:name w:val="footer"/>
    <w:basedOn w:val="Normal"/>
    <w:link w:val="FooterChar"/>
    <w:uiPriority w:val="99"/>
    <w:semiHidden/>
    <w:unhideWhenUsed/>
    <w:rsid w:val="0046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8-%2001-%2011\28-01-11%20graphs%20change\F1-%20F9%20dissolution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Anand%20rao\Desktop\F1-F3%20dissolution%20plot%20with%20F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nand%20rao\Desktop\F1-F3%20dissolution%20plot%20with%20F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nand%20rao\Desktop\F1-F3%20dissolution%20plot%20with%20F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nand%20rao\Desktop\F1-F3%20dissolution%20plot%20with%20F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Sheet1!$B$1</c:f>
              <c:strCache>
                <c:ptCount val="1"/>
                <c:pt idx="0">
                  <c:v>F1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Sheet1!$B$2:$B$15</c:f>
              <c:numCache>
                <c:formatCode>General</c:formatCode>
                <c:ptCount val="14"/>
                <c:pt idx="0">
                  <c:v>0</c:v>
                </c:pt>
                <c:pt idx="1">
                  <c:v>40.130000000000003</c:v>
                </c:pt>
                <c:pt idx="2">
                  <c:v>43.720000000000013</c:v>
                </c:pt>
                <c:pt idx="3">
                  <c:v>52.760000000000012</c:v>
                </c:pt>
                <c:pt idx="4">
                  <c:v>65.39</c:v>
                </c:pt>
                <c:pt idx="5">
                  <c:v>73.86999999999999</c:v>
                </c:pt>
                <c:pt idx="6">
                  <c:v>86.31</c:v>
                </c:pt>
                <c:pt idx="7">
                  <c:v>96.679999999999978</c:v>
                </c:pt>
                <c:pt idx="8">
                  <c:v>100.07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F2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Sheet1!$C$2:$C$15</c:f>
              <c:numCache>
                <c:formatCode>General</c:formatCode>
                <c:ptCount val="14"/>
                <c:pt idx="0">
                  <c:v>0</c:v>
                </c:pt>
                <c:pt idx="1">
                  <c:v>38.81</c:v>
                </c:pt>
                <c:pt idx="2">
                  <c:v>42.59</c:v>
                </c:pt>
                <c:pt idx="3">
                  <c:v>48.43</c:v>
                </c:pt>
                <c:pt idx="4">
                  <c:v>59.36</c:v>
                </c:pt>
                <c:pt idx="5">
                  <c:v>66.33</c:v>
                </c:pt>
                <c:pt idx="6">
                  <c:v>75.19</c:v>
                </c:pt>
                <c:pt idx="7">
                  <c:v>85.179999999999978</c:v>
                </c:pt>
                <c:pt idx="8">
                  <c:v>94.42</c:v>
                </c:pt>
                <c:pt idx="9">
                  <c:v>99.88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F3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Sheet1!$D$2:$D$15</c:f>
              <c:numCache>
                <c:formatCode>General</c:formatCode>
                <c:ptCount val="14"/>
                <c:pt idx="0">
                  <c:v>0</c:v>
                </c:pt>
                <c:pt idx="1">
                  <c:v>36.18</c:v>
                </c:pt>
                <c:pt idx="2">
                  <c:v>40.14</c:v>
                </c:pt>
                <c:pt idx="3">
                  <c:v>47.3</c:v>
                </c:pt>
                <c:pt idx="4">
                  <c:v>52.95</c:v>
                </c:pt>
                <c:pt idx="5">
                  <c:v>59.93</c:v>
                </c:pt>
                <c:pt idx="6">
                  <c:v>69.540000000000006</c:v>
                </c:pt>
                <c:pt idx="7">
                  <c:v>77.64</c:v>
                </c:pt>
                <c:pt idx="8">
                  <c:v>87.25</c:v>
                </c:pt>
                <c:pt idx="9">
                  <c:v>96.3</c:v>
                </c:pt>
                <c:pt idx="10">
                  <c:v>99.69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F4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Sheet1!$E$2:$E$15</c:f>
              <c:numCache>
                <c:formatCode>General</c:formatCode>
                <c:ptCount val="14"/>
                <c:pt idx="0">
                  <c:v>0</c:v>
                </c:pt>
                <c:pt idx="1">
                  <c:v>19.22</c:v>
                </c:pt>
                <c:pt idx="2">
                  <c:v>21.1</c:v>
                </c:pt>
                <c:pt idx="3">
                  <c:v>25.439999999999987</c:v>
                </c:pt>
                <c:pt idx="4">
                  <c:v>28.45</c:v>
                </c:pt>
                <c:pt idx="5">
                  <c:v>31.66</c:v>
                </c:pt>
                <c:pt idx="6">
                  <c:v>35.050000000000004</c:v>
                </c:pt>
                <c:pt idx="7">
                  <c:v>41.83</c:v>
                </c:pt>
                <c:pt idx="8">
                  <c:v>47.68</c:v>
                </c:pt>
                <c:pt idx="9">
                  <c:v>53.71</c:v>
                </c:pt>
                <c:pt idx="10">
                  <c:v>61.25</c:v>
                </c:pt>
                <c:pt idx="11">
                  <c:v>66.149999999999991</c:v>
                </c:pt>
                <c:pt idx="12">
                  <c:v>69.92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F5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Sheet1!$F$2:$F$15</c:f>
              <c:numCache>
                <c:formatCode>General</c:formatCode>
                <c:ptCount val="14"/>
                <c:pt idx="0">
                  <c:v>0</c:v>
                </c:pt>
                <c:pt idx="1">
                  <c:v>14.32</c:v>
                </c:pt>
                <c:pt idx="2">
                  <c:v>17.71</c:v>
                </c:pt>
                <c:pt idx="3">
                  <c:v>22.419999999999987</c:v>
                </c:pt>
                <c:pt idx="4">
                  <c:v>25.82</c:v>
                </c:pt>
                <c:pt idx="5">
                  <c:v>30.53</c:v>
                </c:pt>
                <c:pt idx="6">
                  <c:v>34.11</c:v>
                </c:pt>
                <c:pt idx="7">
                  <c:v>39.39</c:v>
                </c:pt>
                <c:pt idx="8">
                  <c:v>43.160000000000011</c:v>
                </c:pt>
                <c:pt idx="9">
                  <c:v>48.81</c:v>
                </c:pt>
                <c:pt idx="10">
                  <c:v>54.28</c:v>
                </c:pt>
                <c:pt idx="11">
                  <c:v>60.87</c:v>
                </c:pt>
                <c:pt idx="12">
                  <c:v>65.02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F6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Sheet1!$G$2:$G$15</c:f>
              <c:numCache>
                <c:formatCode>General</c:formatCode>
                <c:ptCount val="14"/>
                <c:pt idx="0">
                  <c:v>0</c:v>
                </c:pt>
                <c:pt idx="1">
                  <c:v>10.360000000000024</c:v>
                </c:pt>
                <c:pt idx="2">
                  <c:v>13.56</c:v>
                </c:pt>
                <c:pt idx="3">
                  <c:v>19.97</c:v>
                </c:pt>
                <c:pt idx="4">
                  <c:v>21.479999999999986</c:v>
                </c:pt>
                <c:pt idx="5">
                  <c:v>25.439999999999987</c:v>
                </c:pt>
                <c:pt idx="6">
                  <c:v>29.4</c:v>
                </c:pt>
                <c:pt idx="7">
                  <c:v>35.24</c:v>
                </c:pt>
                <c:pt idx="8">
                  <c:v>40.33</c:v>
                </c:pt>
                <c:pt idx="9">
                  <c:v>46.36</c:v>
                </c:pt>
                <c:pt idx="10">
                  <c:v>49.190000000000012</c:v>
                </c:pt>
                <c:pt idx="11">
                  <c:v>54.84</c:v>
                </c:pt>
                <c:pt idx="12">
                  <c:v>57.67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F7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Sheet1!$H$2:$H$15</c:f>
              <c:numCache>
                <c:formatCode>General</c:formatCode>
                <c:ptCount val="14"/>
                <c:pt idx="0">
                  <c:v>0</c:v>
                </c:pt>
                <c:pt idx="1">
                  <c:v>34.86</c:v>
                </c:pt>
                <c:pt idx="2">
                  <c:v>39.200000000000003</c:v>
                </c:pt>
                <c:pt idx="3">
                  <c:v>46.17</c:v>
                </c:pt>
                <c:pt idx="4">
                  <c:v>50.690000000000012</c:v>
                </c:pt>
                <c:pt idx="5">
                  <c:v>58.61</c:v>
                </c:pt>
                <c:pt idx="6">
                  <c:v>65.2</c:v>
                </c:pt>
                <c:pt idx="7">
                  <c:v>71.42</c:v>
                </c:pt>
                <c:pt idx="8">
                  <c:v>77.83</c:v>
                </c:pt>
                <c:pt idx="9">
                  <c:v>84.61999999999999</c:v>
                </c:pt>
                <c:pt idx="10">
                  <c:v>89.33</c:v>
                </c:pt>
                <c:pt idx="11">
                  <c:v>95.36</c:v>
                </c:pt>
                <c:pt idx="12">
                  <c:v>99.13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F8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Sheet1!$I$2:$I$15</c:f>
              <c:numCache>
                <c:formatCode>General</c:formatCode>
                <c:ptCount val="14"/>
                <c:pt idx="0">
                  <c:v>0</c:v>
                </c:pt>
                <c:pt idx="1">
                  <c:v>30.330000000000005</c:v>
                </c:pt>
                <c:pt idx="2">
                  <c:v>35.43</c:v>
                </c:pt>
                <c:pt idx="3">
                  <c:v>44.28</c:v>
                </c:pt>
                <c:pt idx="4">
                  <c:v>47.49</c:v>
                </c:pt>
                <c:pt idx="5">
                  <c:v>57.1</c:v>
                </c:pt>
                <c:pt idx="6">
                  <c:v>64.260000000000005</c:v>
                </c:pt>
                <c:pt idx="7">
                  <c:v>70.669999999999987</c:v>
                </c:pt>
                <c:pt idx="8">
                  <c:v>77.08</c:v>
                </c:pt>
                <c:pt idx="9">
                  <c:v>82.169999999999987</c:v>
                </c:pt>
                <c:pt idx="10">
                  <c:v>87.82</c:v>
                </c:pt>
                <c:pt idx="11">
                  <c:v>93.1</c:v>
                </c:pt>
                <c:pt idx="12">
                  <c:v>98.56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F9</c:v>
                </c:pt>
              </c:strCache>
            </c:strRef>
          </c:tx>
          <c:xVal>
            <c:numRef>
              <c:f>Sheet1!$A$2:$A$15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xVal>
          <c:yVal>
            <c:numRef>
              <c:f>Sheet1!$J$2:$J$15</c:f>
              <c:numCache>
                <c:formatCode>General</c:formatCode>
                <c:ptCount val="14"/>
                <c:pt idx="0">
                  <c:v>0</c:v>
                </c:pt>
                <c:pt idx="1">
                  <c:v>24.3</c:v>
                </c:pt>
                <c:pt idx="2">
                  <c:v>29.58</c:v>
                </c:pt>
                <c:pt idx="3">
                  <c:v>39.380000000000003</c:v>
                </c:pt>
                <c:pt idx="4">
                  <c:v>46.36</c:v>
                </c:pt>
                <c:pt idx="5">
                  <c:v>52.39</c:v>
                </c:pt>
                <c:pt idx="6">
                  <c:v>60.87</c:v>
                </c:pt>
                <c:pt idx="7">
                  <c:v>67.28</c:v>
                </c:pt>
                <c:pt idx="8">
                  <c:v>75.569999999999993</c:v>
                </c:pt>
                <c:pt idx="9">
                  <c:v>81.410000000000025</c:v>
                </c:pt>
                <c:pt idx="10">
                  <c:v>86.31</c:v>
                </c:pt>
                <c:pt idx="11">
                  <c:v>92.53</c:v>
                </c:pt>
                <c:pt idx="12">
                  <c:v>98.19</c:v>
                </c:pt>
              </c:numCache>
            </c:numRef>
          </c:yVal>
          <c:smooth val="1"/>
        </c:ser>
        <c:axId val="91859200"/>
        <c:axId val="103256832"/>
      </c:scatterChart>
      <c:valAx>
        <c:axId val="918592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Time in hours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256832"/>
        <c:crosses val="autoZero"/>
        <c:crossBetween val="midCat"/>
      </c:valAx>
      <c:valAx>
        <c:axId val="1032568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Cumulative % drug release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91859200"/>
        <c:crosses val="autoZero"/>
        <c:crossBetween val="midCat"/>
      </c:valAx>
    </c:plotArea>
    <c:legend>
      <c:legendPos val="r"/>
      <c:txPr>
        <a:bodyPr/>
        <a:lstStyle/>
        <a:p>
          <a:pPr>
            <a:defRPr lang="en-US"/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1"/>
          <c:order val="1"/>
          <c:tx>
            <c:strRef>
              <c:f>'zero order plot'!$B$1</c:f>
            </c:strRef>
          </c:tx>
          <c:spPr>
            <a:ln w="28575">
              <a:noFill/>
            </a:ln>
          </c:spPr>
          <c:xVal>
            <c:numRef>
              <c:f>'zero order plot'!$A$2:$A$15</c:f>
            </c:numRef>
          </c:xVal>
          <c:yVal>
            <c:numRef>
              <c:f>'zero order plot'!$B$2:$B$15</c:f>
            </c:numRef>
          </c:yVal>
        </c:ser>
        <c:ser>
          <c:idx val="0"/>
          <c:order val="0"/>
          <c:tx>
            <c:strRef>
              <c:f>'[F1-F3 dissolution plot with F6.xlsx]zero order plot'!$B$1</c:f>
              <c:strCache>
                <c:ptCount val="1"/>
                <c:pt idx="0">
                  <c:v>cumulative % drug un dissolved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1.5219675585148768E-2"/>
                  <c:y val="0.46412458763756176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US"/>
                  </a:pPr>
                  <a:endParaRPr lang="en-US"/>
                </a:p>
              </c:txPr>
            </c:trendlineLbl>
          </c:trendline>
          <c:xVal>
            <c:numRef>
              <c:f>'[F1-F3 dissolution plot with F6.xlsx]zero order plot'!$A$2:$A$15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'[F1-F3 dissolution plot with F6.xlsx]zero order plot'!$B$2:$B$15</c:f>
              <c:numCache>
                <c:formatCode>General</c:formatCode>
                <c:ptCount val="14"/>
                <c:pt idx="0">
                  <c:v>24.3</c:v>
                </c:pt>
                <c:pt idx="1">
                  <c:v>29.58</c:v>
                </c:pt>
                <c:pt idx="2">
                  <c:v>39.379999999999995</c:v>
                </c:pt>
                <c:pt idx="3">
                  <c:v>46.36</c:v>
                </c:pt>
                <c:pt idx="4">
                  <c:v>52.39</c:v>
                </c:pt>
                <c:pt idx="5">
                  <c:v>60.87</c:v>
                </c:pt>
                <c:pt idx="6">
                  <c:v>67.28</c:v>
                </c:pt>
                <c:pt idx="7">
                  <c:v>75.569999999999993</c:v>
                </c:pt>
                <c:pt idx="8">
                  <c:v>81.410000000000025</c:v>
                </c:pt>
                <c:pt idx="9">
                  <c:v>86.31</c:v>
                </c:pt>
                <c:pt idx="10">
                  <c:v>92.53</c:v>
                </c:pt>
                <c:pt idx="11">
                  <c:v>98.19</c:v>
                </c:pt>
              </c:numCache>
            </c:numRef>
          </c:yVal>
        </c:ser>
        <c:axId val="115115904"/>
        <c:axId val="115134464"/>
      </c:scatterChart>
      <c:valAx>
        <c:axId val="1151159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Time in hours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15134464"/>
        <c:crosses val="autoZero"/>
        <c:crossBetween val="midCat"/>
      </c:valAx>
      <c:valAx>
        <c:axId val="1151344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Cumulative % drug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 release</a:t>
                </a:r>
                <a:endParaRPr lang="en-US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15115904"/>
        <c:crosses val="autoZero"/>
        <c:crossBetween val="midCat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1"/>
          <c:order val="1"/>
          <c:tx>
            <c:strRef>
              <c:f>'first order plot'!$B$1</c:f>
            </c:strRef>
          </c:tx>
          <c:spPr>
            <a:ln w="28575">
              <a:noFill/>
            </a:ln>
          </c:spPr>
          <c:xVal>
            <c:numRef>
              <c:f>'first order plot'!$A$2:$A$15</c:f>
            </c:numRef>
          </c:xVal>
          <c:yVal>
            <c:numRef>
              <c:f>'first order plot'!$B$2:$B$15</c:f>
            </c:numRef>
          </c:yVal>
        </c:ser>
        <c:ser>
          <c:idx val="0"/>
          <c:order val="0"/>
          <c:tx>
            <c:strRef>
              <c:f>'[F1-F3 dissolution plot with F6.xlsx]first order plot'!$B$1</c:f>
              <c:strCache>
                <c:ptCount val="1"/>
                <c:pt idx="0">
                  <c:v>log cumulative % drug undissolved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5.2033865416628534E-3"/>
                  <c:y val="-0.3008968215295874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US"/>
                  </a:pPr>
                  <a:endParaRPr lang="en-US"/>
                </a:p>
              </c:txPr>
            </c:trendlineLbl>
          </c:trendline>
          <c:xVal>
            <c:numRef>
              <c:f>'[F1-F3 dissolution plot with F6.xlsx]first order plot'!$A$2:$A$15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'[F1-F3 dissolution plot with F6.xlsx]first order plot'!$B$2:$B$15</c:f>
              <c:numCache>
                <c:formatCode>General</c:formatCode>
                <c:ptCount val="14"/>
                <c:pt idx="0">
                  <c:v>1.879</c:v>
                </c:pt>
                <c:pt idx="1">
                  <c:v>1.847</c:v>
                </c:pt>
                <c:pt idx="2">
                  <c:v>1.782</c:v>
                </c:pt>
                <c:pt idx="3">
                  <c:v>1.7289999999999826</c:v>
                </c:pt>
                <c:pt idx="4">
                  <c:v>1.677</c:v>
                </c:pt>
                <c:pt idx="5">
                  <c:v>1.5920000000000001</c:v>
                </c:pt>
                <c:pt idx="6">
                  <c:v>1.514</c:v>
                </c:pt>
                <c:pt idx="7">
                  <c:v>1.387</c:v>
                </c:pt>
                <c:pt idx="8">
                  <c:v>1.2689999999999844</c:v>
                </c:pt>
                <c:pt idx="9">
                  <c:v>1.1359999999999844</c:v>
                </c:pt>
                <c:pt idx="10">
                  <c:v>0.87300000000000699</c:v>
                </c:pt>
                <c:pt idx="11">
                  <c:v>0.25700000000000001</c:v>
                </c:pt>
              </c:numCache>
            </c:numRef>
          </c:yVal>
        </c:ser>
        <c:axId val="103179008"/>
        <c:axId val="103180928"/>
      </c:scatterChart>
      <c:valAx>
        <c:axId val="103179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Time in hours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180928"/>
        <c:crosses val="autoZero"/>
        <c:crossBetween val="midCat"/>
      </c:valAx>
      <c:valAx>
        <c:axId val="1031809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Log cumulative % drug remaining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179008"/>
        <c:crosses val="autoZero"/>
        <c:crossBetween val="midCat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1"/>
          <c:order val="1"/>
          <c:tx>
            <c:strRef>
              <c:f>'higuchi plot'!$B$1</c:f>
            </c:strRef>
          </c:tx>
          <c:spPr>
            <a:ln w="28575">
              <a:noFill/>
            </a:ln>
          </c:spPr>
          <c:xVal>
            <c:numRef>
              <c:f>'higuchi plot'!$A$2:$A$15</c:f>
            </c:numRef>
          </c:xVal>
          <c:yVal>
            <c:numRef>
              <c:f>'higuchi plot'!$B$2:$B$15</c:f>
            </c:numRef>
          </c:yVal>
        </c:ser>
        <c:ser>
          <c:idx val="0"/>
          <c:order val="0"/>
          <c:tx>
            <c:strRef>
              <c:f>'[F1-F3 dissolution plot with F6.xlsx]higuchi plot'!$B$1</c:f>
              <c:strCache>
                <c:ptCount val="1"/>
                <c:pt idx="0">
                  <c:v>cumulative % drug release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29175507905802434"/>
                  <c:y val="4.5000690703136939E-3"/>
                </c:manualLayout>
              </c:layout>
              <c:tx>
                <c:rich>
                  <a:bodyPr/>
                  <a:lstStyle/>
                  <a:p>
                    <a:pPr>
                      <a:defRPr lang="en-US"/>
                    </a:pPr>
                    <a:r>
                      <a:rPr baseline="0"/>
                      <a:t>y = 31.46x - 13.83
R² = 0.985</a:t>
                    </a:r>
                    <a:endParaRPr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'[F1-F3 dissolution plot with F6.xlsx]higuchi plot'!$A$2:$A$15</c:f>
              <c:numCache>
                <c:formatCode>General</c:formatCode>
                <c:ptCount val="14"/>
                <c:pt idx="0">
                  <c:v>1</c:v>
                </c:pt>
                <c:pt idx="1">
                  <c:v>1.4139999999999715</c:v>
                </c:pt>
                <c:pt idx="2">
                  <c:v>1.732</c:v>
                </c:pt>
                <c:pt idx="3">
                  <c:v>2</c:v>
                </c:pt>
                <c:pt idx="4">
                  <c:v>2.2359999999999998</c:v>
                </c:pt>
                <c:pt idx="5">
                  <c:v>2.4489999999999998</c:v>
                </c:pt>
                <c:pt idx="6">
                  <c:v>2.645</c:v>
                </c:pt>
                <c:pt idx="7">
                  <c:v>2.8279999999999998</c:v>
                </c:pt>
                <c:pt idx="8">
                  <c:v>3</c:v>
                </c:pt>
                <c:pt idx="9">
                  <c:v>3.1619999999999999</c:v>
                </c:pt>
                <c:pt idx="10">
                  <c:v>3.3159999999999967</c:v>
                </c:pt>
                <c:pt idx="11">
                  <c:v>3.464</c:v>
                </c:pt>
              </c:numCache>
            </c:numRef>
          </c:xVal>
          <c:yVal>
            <c:numRef>
              <c:f>'[F1-F3 dissolution plot with F6.xlsx]higuchi plot'!$B$2:$B$15</c:f>
              <c:numCache>
                <c:formatCode>General</c:formatCode>
                <c:ptCount val="14"/>
                <c:pt idx="0">
                  <c:v>24.3</c:v>
                </c:pt>
                <c:pt idx="1">
                  <c:v>29.58</c:v>
                </c:pt>
                <c:pt idx="2">
                  <c:v>39.379999999999995</c:v>
                </c:pt>
                <c:pt idx="3">
                  <c:v>46.36</c:v>
                </c:pt>
                <c:pt idx="4">
                  <c:v>52.39</c:v>
                </c:pt>
                <c:pt idx="5">
                  <c:v>60.87</c:v>
                </c:pt>
                <c:pt idx="6">
                  <c:v>67.28</c:v>
                </c:pt>
                <c:pt idx="7">
                  <c:v>75.569999999999993</c:v>
                </c:pt>
                <c:pt idx="8">
                  <c:v>81.410000000000025</c:v>
                </c:pt>
                <c:pt idx="9">
                  <c:v>86.31</c:v>
                </c:pt>
                <c:pt idx="10">
                  <c:v>92.53</c:v>
                </c:pt>
                <c:pt idx="11">
                  <c:v>98.19</c:v>
                </c:pt>
              </c:numCache>
            </c:numRef>
          </c:yVal>
        </c:ser>
        <c:axId val="103189888"/>
        <c:axId val="103208448"/>
      </c:scatterChart>
      <c:valAx>
        <c:axId val="103189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Squre root of time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208448"/>
        <c:crosses val="autoZero"/>
        <c:crossBetween val="midCat"/>
      </c:valAx>
      <c:valAx>
        <c:axId val="10320844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Cumulative % drug release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189888"/>
        <c:crosses val="autoZero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1"/>
          <c:order val="1"/>
          <c:tx>
            <c:strRef>
              <c:f>'koresemayer peppas plot'!$B$1</c:f>
            </c:strRef>
          </c:tx>
          <c:spPr>
            <a:ln w="28575">
              <a:noFill/>
            </a:ln>
          </c:spPr>
          <c:xVal>
            <c:numRef>
              <c:f>'koresemayer peppas plot'!$A$2:$A$15</c:f>
            </c:numRef>
          </c:xVal>
          <c:yVal>
            <c:numRef>
              <c:f>'koresemayer peppas plot'!$B$2:$B$15</c:f>
            </c:numRef>
          </c:yVal>
        </c:ser>
        <c:ser>
          <c:idx val="0"/>
          <c:order val="0"/>
          <c:tx>
            <c:strRef>
              <c:f>'[F1-F3 dissolution plot with F6.xlsx]koresemayer peppas plot'!$B$1</c:f>
              <c:strCache>
                <c:ptCount val="1"/>
                <c:pt idx="0">
                  <c:v>log cumulative % drug release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7294157050811074"/>
                  <c:y val="0.28903651683105891"/>
                </c:manualLayout>
              </c:layout>
              <c:tx>
                <c:rich>
                  <a:bodyPr/>
                  <a:lstStyle/>
                  <a:p>
                    <a:pPr>
                      <a:defRPr lang="en-US"/>
                    </a:pPr>
                    <a:r>
                      <a:rPr baseline="0"/>
                      <a:t>y = 0.598x + 1.328
R² = 0.983</a:t>
                    </a:r>
                    <a:endParaRPr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'[F1-F3 dissolution plot with F6.xlsx]koresemayer peppas plot'!$A$2:$A$15</c:f>
              <c:numCache>
                <c:formatCode>General</c:formatCode>
                <c:ptCount val="14"/>
                <c:pt idx="0">
                  <c:v>0</c:v>
                </c:pt>
                <c:pt idx="1">
                  <c:v>0.30100000000000032</c:v>
                </c:pt>
                <c:pt idx="2">
                  <c:v>0.47700000000000031</c:v>
                </c:pt>
                <c:pt idx="3">
                  <c:v>0.60200000000000065</c:v>
                </c:pt>
                <c:pt idx="4">
                  <c:v>0.69799999999999995</c:v>
                </c:pt>
                <c:pt idx="5">
                  <c:v>0.77800000000000835</c:v>
                </c:pt>
                <c:pt idx="6">
                  <c:v>0.84500000000000064</c:v>
                </c:pt>
                <c:pt idx="7">
                  <c:v>0.90300000000000002</c:v>
                </c:pt>
                <c:pt idx="8">
                  <c:v>0.95400000000000063</c:v>
                </c:pt>
                <c:pt idx="9">
                  <c:v>1</c:v>
                </c:pt>
                <c:pt idx="10">
                  <c:v>1.0409999999999857</c:v>
                </c:pt>
                <c:pt idx="11">
                  <c:v>1.079</c:v>
                </c:pt>
              </c:numCache>
            </c:numRef>
          </c:xVal>
          <c:yVal>
            <c:numRef>
              <c:f>'[F1-F3 dissolution plot with F6.xlsx]koresemayer peppas plot'!$B$2:$B$15</c:f>
              <c:numCache>
                <c:formatCode>General</c:formatCode>
                <c:ptCount val="14"/>
                <c:pt idx="0">
                  <c:v>1.385</c:v>
                </c:pt>
                <c:pt idx="1">
                  <c:v>1.47</c:v>
                </c:pt>
                <c:pt idx="2">
                  <c:v>1.595</c:v>
                </c:pt>
                <c:pt idx="3">
                  <c:v>1.6659999999999857</c:v>
                </c:pt>
                <c:pt idx="4">
                  <c:v>1.7189999999999825</c:v>
                </c:pt>
                <c:pt idx="5">
                  <c:v>1.784</c:v>
                </c:pt>
                <c:pt idx="6">
                  <c:v>1.827</c:v>
                </c:pt>
                <c:pt idx="7">
                  <c:v>1.8779999999999843</c:v>
                </c:pt>
                <c:pt idx="8">
                  <c:v>1.9100000000000001</c:v>
                </c:pt>
                <c:pt idx="9">
                  <c:v>1.935999999999986</c:v>
                </c:pt>
                <c:pt idx="10">
                  <c:v>1.966000000000014</c:v>
                </c:pt>
                <c:pt idx="11">
                  <c:v>1.9920000000000155</c:v>
                </c:pt>
              </c:numCache>
            </c:numRef>
          </c:yVal>
        </c:ser>
        <c:axId val="115345664"/>
        <c:axId val="115351936"/>
      </c:scatterChart>
      <c:valAx>
        <c:axId val="115345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Log time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15351936"/>
        <c:crosses val="autoZero"/>
        <c:crossBetween val="midCat"/>
      </c:valAx>
      <c:valAx>
        <c:axId val="1153519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log cumulative % drug release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15345664"/>
        <c:crosses val="autoZero"/>
        <c:crossBetween val="midCat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0.2916</cdr:x>
      <cdr:y>0.07005</cdr:y>
    </cdr:from>
    <cdr:to>
      <cdr:x>0.72556</cdr:x>
      <cdr:y>0.11836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19250" y="276225"/>
          <a:ext cx="24098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0.2916</cdr:x>
      <cdr:y>0.07005</cdr:y>
    </cdr:from>
    <cdr:to>
      <cdr:x>0.72556</cdr:x>
      <cdr:y>0.11836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9250" y="276225"/>
          <a:ext cx="24098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Gondale</dc:creator>
  <cp:keywords/>
  <dc:description/>
  <cp:lastModifiedBy>frontech</cp:lastModifiedBy>
  <cp:revision>2</cp:revision>
  <dcterms:created xsi:type="dcterms:W3CDTF">2011-10-24T06:14:00Z</dcterms:created>
  <dcterms:modified xsi:type="dcterms:W3CDTF">2011-10-24T06:14:00Z</dcterms:modified>
</cp:coreProperties>
</file>